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Darkness: Economics Sector</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Crystani Freeman  </w:t>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economic disparities in income, wealth, opportunity, and mobility between groups of people. The economy has always worked in favor of some people (namely whites) and against others: African Americans.</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After the </w:t>
      </w:r>
      <w:r w:rsidDel="00000000" w:rsidR="00000000" w:rsidRPr="00000000">
        <w:rPr>
          <w:rFonts w:ascii="Times New Roman" w:cs="Times New Roman" w:eastAsia="Times New Roman" w:hAnsi="Times New Roman"/>
          <w:i w:val="1"/>
          <w:color w:val="0e101a"/>
          <w:sz w:val="24"/>
          <w:szCs w:val="24"/>
          <w:rtl w:val="0"/>
        </w:rPr>
        <w:t xml:space="preserve">Civil War </w:t>
      </w:r>
      <w:r w:rsidDel="00000000" w:rsidR="00000000" w:rsidRPr="00000000">
        <w:rPr>
          <w:rFonts w:ascii="Times New Roman" w:cs="Times New Roman" w:eastAsia="Times New Roman" w:hAnsi="Times New Roman"/>
          <w:color w:val="0e101a"/>
          <w:sz w:val="24"/>
          <w:szCs w:val="24"/>
          <w:rtl w:val="0"/>
        </w:rPr>
        <w:t xml:space="preserve">(1861-1865), newly freed slaves quickly sought out economic prosperity. Yet, as a result of the war, most black people lived in the south, a very impoverished region. At the time, the per capita income there was </w:t>
      </w:r>
      <w:hyperlink r:id="rId6">
        <w:r w:rsidDel="00000000" w:rsidR="00000000" w:rsidRPr="00000000">
          <w:rPr>
            <w:rFonts w:ascii="Times New Roman" w:cs="Times New Roman" w:eastAsia="Times New Roman" w:hAnsi="Times New Roman"/>
            <w:color w:val="4a6ee0"/>
            <w:sz w:val="24"/>
            <w:szCs w:val="24"/>
            <w:u w:val="single"/>
            <w:rtl w:val="0"/>
          </w:rPr>
          <w:t xml:space="preserve">half the United States national average</w:t>
        </w:r>
      </w:hyperlink>
      <w:r w:rsidDel="00000000" w:rsidR="00000000" w:rsidRPr="00000000">
        <w:rPr>
          <w:rFonts w:ascii="Times New Roman" w:cs="Times New Roman" w:eastAsia="Times New Roman" w:hAnsi="Times New Roman"/>
          <w:color w:val="0e101a"/>
          <w:sz w:val="24"/>
          <w:szCs w:val="24"/>
          <w:rtl w:val="0"/>
        </w:rPr>
        <w:t xml:space="preserve">.</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Similarly, there are gaps in wealth by households among black and white people. Compared to a </w:t>
      </w:r>
      <w:hyperlink r:id="rId7">
        <w:r w:rsidDel="00000000" w:rsidR="00000000" w:rsidRPr="00000000">
          <w:rPr>
            <w:rFonts w:ascii="Times New Roman" w:cs="Times New Roman" w:eastAsia="Times New Roman" w:hAnsi="Times New Roman"/>
            <w:color w:val="4a6ee0"/>
            <w:sz w:val="24"/>
            <w:szCs w:val="24"/>
            <w:u w:val="single"/>
            <w:rtl w:val="0"/>
          </w:rPr>
          <w:t xml:space="preserve">median net worth</w:t>
        </w:r>
      </w:hyperlink>
      <w:r w:rsidDel="00000000" w:rsidR="00000000" w:rsidRPr="00000000">
        <w:rPr>
          <w:rFonts w:ascii="Times New Roman" w:cs="Times New Roman" w:eastAsia="Times New Roman" w:hAnsi="Times New Roman"/>
          <w:color w:val="0e101a"/>
          <w:sz w:val="24"/>
          <w:szCs w:val="24"/>
          <w:rtl w:val="0"/>
        </w:rPr>
        <w:t xml:space="preserve"> of $171,000 for white households, the median net worth of black families is much lower: $17,600. Thus, for every dollar, a black household has, </w:t>
      </w:r>
      <w:hyperlink r:id="rId8">
        <w:r w:rsidDel="00000000" w:rsidR="00000000" w:rsidRPr="00000000">
          <w:rPr>
            <w:rFonts w:ascii="Times New Roman" w:cs="Times New Roman" w:eastAsia="Times New Roman" w:hAnsi="Times New Roman"/>
            <w:color w:val="4a6ee0"/>
            <w:sz w:val="24"/>
            <w:szCs w:val="24"/>
            <w:u w:val="single"/>
            <w:rtl w:val="0"/>
          </w:rPr>
          <w:t xml:space="preserve">a white family has $10</w:t>
        </w:r>
      </w:hyperlink>
      <w:r w:rsidDel="00000000" w:rsidR="00000000" w:rsidRPr="00000000">
        <w:rPr>
          <w:rFonts w:ascii="Times New Roman" w:cs="Times New Roman" w:eastAsia="Times New Roman" w:hAnsi="Times New Roman"/>
          <w:color w:val="0e101a"/>
          <w:sz w:val="24"/>
          <w:szCs w:val="24"/>
          <w:rtl w:val="0"/>
        </w:rPr>
        <w:t xml:space="preserve">. One study found that in 1900, almost 22 percent of black male heads of households </w:t>
      </w:r>
      <w:hyperlink r:id="rId9">
        <w:r w:rsidDel="00000000" w:rsidR="00000000" w:rsidRPr="00000000">
          <w:rPr>
            <w:rFonts w:ascii="Times New Roman" w:cs="Times New Roman" w:eastAsia="Times New Roman" w:hAnsi="Times New Roman"/>
            <w:color w:val="4a6ee0"/>
            <w:sz w:val="24"/>
            <w:szCs w:val="24"/>
            <w:u w:val="single"/>
            <w:rtl w:val="0"/>
          </w:rPr>
          <w:t xml:space="preserve">owned their homes</w:t>
        </w:r>
      </w:hyperlink>
      <w:r w:rsidDel="00000000" w:rsidR="00000000" w:rsidRPr="00000000">
        <w:rPr>
          <w:rFonts w:ascii="Times New Roman" w:cs="Times New Roman" w:eastAsia="Times New Roman" w:hAnsi="Times New Roman"/>
          <w:color w:val="0e101a"/>
          <w:sz w:val="24"/>
          <w:szCs w:val="24"/>
          <w:rtl w:val="0"/>
        </w:rPr>
        <w:t xml:space="preserve">. The number decreased drastically between 1910 and 1920. </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These findings represent the overall trends of the </w:t>
      </w:r>
      <w:r w:rsidDel="00000000" w:rsidR="00000000" w:rsidRPr="00000000">
        <w:rPr>
          <w:rFonts w:ascii="Times New Roman" w:cs="Times New Roman" w:eastAsia="Times New Roman" w:hAnsi="Times New Roman"/>
          <w:i w:val="1"/>
          <w:color w:val="0e101a"/>
          <w:sz w:val="24"/>
          <w:szCs w:val="24"/>
          <w:rtl w:val="0"/>
        </w:rPr>
        <w:t xml:space="preserve">Great Migration</w:t>
      </w:r>
      <w:r w:rsidDel="00000000" w:rsidR="00000000" w:rsidRPr="00000000">
        <w:rPr>
          <w:rFonts w:ascii="Times New Roman" w:cs="Times New Roman" w:eastAsia="Times New Roman" w:hAnsi="Times New Roman"/>
          <w:color w:val="0e101a"/>
          <w:sz w:val="24"/>
          <w:szCs w:val="24"/>
          <w:rtl w:val="0"/>
        </w:rPr>
        <w:t xml:space="preserve"> (1916-1970) when black people residing in urban cities were unlikely to own a home. The </w:t>
      </w:r>
      <w:r w:rsidDel="00000000" w:rsidR="00000000" w:rsidRPr="00000000">
        <w:rPr>
          <w:rFonts w:ascii="Times New Roman" w:cs="Times New Roman" w:eastAsia="Times New Roman" w:hAnsi="Times New Roman"/>
          <w:i w:val="1"/>
          <w:color w:val="0e101a"/>
          <w:sz w:val="24"/>
          <w:szCs w:val="24"/>
          <w:rtl w:val="0"/>
        </w:rPr>
        <w:t xml:space="preserve">Great Depression</w:t>
      </w:r>
      <w:r w:rsidDel="00000000" w:rsidR="00000000" w:rsidRPr="00000000">
        <w:rPr>
          <w:rFonts w:ascii="Times New Roman" w:cs="Times New Roman" w:eastAsia="Times New Roman" w:hAnsi="Times New Roman"/>
          <w:color w:val="0e101a"/>
          <w:sz w:val="24"/>
          <w:szCs w:val="24"/>
          <w:rtl w:val="0"/>
        </w:rPr>
        <w:t xml:space="preserve"> (1929-1933) further complicated things, where </w:t>
      </w:r>
      <w:hyperlink r:id="rId10">
        <w:r w:rsidDel="00000000" w:rsidR="00000000" w:rsidRPr="00000000">
          <w:rPr>
            <w:rFonts w:ascii="Times New Roman" w:cs="Times New Roman" w:eastAsia="Times New Roman" w:hAnsi="Times New Roman"/>
            <w:color w:val="4a6ee0"/>
            <w:sz w:val="24"/>
            <w:szCs w:val="24"/>
            <w:u w:val="single"/>
            <w:rtl w:val="0"/>
          </w:rPr>
          <w:t xml:space="preserve">black homeownership decreased</w:t>
        </w:r>
      </w:hyperlink>
      <w:r w:rsidDel="00000000" w:rsidR="00000000" w:rsidRPr="00000000">
        <w:rPr>
          <w:rFonts w:ascii="Times New Roman" w:cs="Times New Roman" w:eastAsia="Times New Roman" w:hAnsi="Times New Roman"/>
          <w:color w:val="0e101a"/>
          <w:sz w:val="24"/>
          <w:szCs w:val="24"/>
          <w:rtl w:val="0"/>
        </w:rPr>
        <w:t xml:space="preserve"> more in the ‘20s and ‘40s. Today, in the northern and western American, economic mobility for black individuals is both </w:t>
      </w:r>
      <w:hyperlink r:id="rId11">
        <w:r w:rsidDel="00000000" w:rsidR="00000000" w:rsidRPr="00000000">
          <w:rPr>
            <w:rFonts w:ascii="Times New Roman" w:cs="Times New Roman" w:eastAsia="Times New Roman" w:hAnsi="Times New Roman"/>
            <w:color w:val="4a6ee0"/>
            <w:sz w:val="24"/>
            <w:szCs w:val="24"/>
            <w:u w:val="single"/>
            <w:rtl w:val="0"/>
          </w:rPr>
          <w:t xml:space="preserve">greater and similar to white individuals</w:t>
        </w:r>
      </w:hyperlink>
      <w:r w:rsidDel="00000000" w:rsidR="00000000" w:rsidRPr="00000000">
        <w:rPr>
          <w:rFonts w:ascii="Times New Roman" w:cs="Times New Roman" w:eastAsia="Times New Roman" w:hAnsi="Times New Roman"/>
          <w:color w:val="0e101a"/>
          <w:sz w:val="24"/>
          <w:szCs w:val="24"/>
          <w:rtl w:val="0"/>
        </w:rPr>
        <w:t xml:space="preserve">; but these are areas with lower populations of black people. On the contrary, there is </w:t>
      </w:r>
      <w:hyperlink r:id="rId12">
        <w:r w:rsidDel="00000000" w:rsidR="00000000" w:rsidRPr="00000000">
          <w:rPr>
            <w:rFonts w:ascii="Times New Roman" w:cs="Times New Roman" w:eastAsia="Times New Roman" w:hAnsi="Times New Roman"/>
            <w:color w:val="1155cc"/>
            <w:sz w:val="24"/>
            <w:szCs w:val="24"/>
            <w:u w:val="single"/>
            <w:rtl w:val="0"/>
          </w:rPr>
          <w:t xml:space="preserve">less movability</w:t>
        </w:r>
      </w:hyperlink>
      <w:r w:rsidDel="00000000" w:rsidR="00000000" w:rsidRPr="00000000">
        <w:rPr>
          <w:rFonts w:ascii="Times New Roman" w:cs="Times New Roman" w:eastAsia="Times New Roman" w:hAnsi="Times New Roman"/>
          <w:color w:val="0e101a"/>
          <w:sz w:val="24"/>
          <w:szCs w:val="24"/>
          <w:rtl w:val="0"/>
        </w:rPr>
        <w:t xml:space="preserve"> in highly populated African-American regions</w:t>
      </w: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workplace, it is illegal to discriminate based on an individual’s</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0563c1"/>
            <w:sz w:val="24"/>
            <w:szCs w:val="24"/>
            <w:u w:val="single"/>
            <w:rtl w:val="0"/>
          </w:rPr>
          <w:t xml:space="preserve">protected attributes</w:t>
        </w:r>
      </w:hyperlink>
      <w:r w:rsidDel="00000000" w:rsidR="00000000" w:rsidRPr="00000000">
        <w:rPr>
          <w:rFonts w:ascii="Times New Roman" w:cs="Times New Roman" w:eastAsia="Times New Roman" w:hAnsi="Times New Roman"/>
          <w:sz w:val="24"/>
          <w:szCs w:val="24"/>
          <w:rtl w:val="0"/>
        </w:rPr>
        <w:t xml:space="preserve">, like race, color, social origin, or national extraction. Nonetheless, as economists</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0563c1"/>
            <w:sz w:val="24"/>
            <w:szCs w:val="24"/>
            <w:u w:val="single"/>
            <w:rtl w:val="0"/>
          </w:rPr>
          <w:t xml:space="preserve">Hardy, Logan, and Parman</w:t>
        </w:r>
      </w:hyperlink>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argue, multiple policies and practices enable employee discrimination against people of color. </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In a 2003 study,</w:t>
      </w:r>
      <w:hyperlink r:id="rId17">
        <w:r w:rsidDel="00000000" w:rsidR="00000000" w:rsidRPr="00000000">
          <w:rPr>
            <w:rFonts w:ascii="Times New Roman" w:cs="Times New Roman" w:eastAsia="Times New Roman" w:hAnsi="Times New Roman"/>
            <w:color w:val="4a6ee0"/>
            <w:sz w:val="24"/>
            <w:szCs w:val="24"/>
            <w:u w:val="single"/>
            <w:rtl w:val="0"/>
          </w:rPr>
          <w:t xml:space="preserve"> Bertrand and Mullainathan</w:t>
        </w:r>
      </w:hyperlink>
      <w:r w:rsidDel="00000000" w:rsidR="00000000" w:rsidRPr="00000000">
        <w:rPr>
          <w:rFonts w:ascii="Times New Roman" w:cs="Times New Roman" w:eastAsia="Times New Roman" w:hAnsi="Times New Roman"/>
          <w:color w:val="0e101a"/>
          <w:sz w:val="24"/>
          <w:szCs w:val="24"/>
          <w:rtl w:val="0"/>
        </w:rPr>
        <w:t xml:space="preserve"> sent resumes to help-wanted ads in Boston and Chicago newspapers. For each, they elected very “black” and very “white” sounding names. They identified that while 50 percent of “white” names received interview callbacks, “black” names did not.</w:t>
      </w:r>
      <w:hyperlink r:id="rId18">
        <w:r w:rsidDel="00000000" w:rsidR="00000000" w:rsidRPr="00000000">
          <w:rPr>
            <w:rFonts w:ascii="Times New Roman" w:cs="Times New Roman" w:eastAsia="Times New Roman" w:hAnsi="Times New Roman"/>
            <w:color w:val="4a6ee0"/>
            <w:sz w:val="24"/>
            <w:szCs w:val="24"/>
            <w:u w:val="single"/>
            <w:rtl w:val="0"/>
          </w:rPr>
          <w:t xml:space="preserve"> Researchers at Stanford University</w:t>
        </w:r>
      </w:hyperlink>
      <w:r w:rsidDel="00000000" w:rsidR="00000000" w:rsidRPr="00000000">
        <w:rPr>
          <w:rFonts w:ascii="Times New Roman" w:cs="Times New Roman" w:eastAsia="Times New Roman" w:hAnsi="Times New Roman"/>
          <w:color w:val="0e101a"/>
          <w:sz w:val="24"/>
          <w:szCs w:val="24"/>
          <w:rtl w:val="0"/>
        </w:rPr>
        <w:t xml:space="preserve"> conducted a study in 2010 that showed how, despite name complications, inherent and internal biases shape an employer’s hiring decisions.</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highlight w:val="white"/>
          <w:rtl w:val="0"/>
        </w:rPr>
        <w:t xml:space="preserve">Given these wealth gaps, it is not surprising that, although black people make up only 13% of the US population, they account for</w:t>
      </w:r>
      <w:hyperlink r:id="rId19">
        <w:r w:rsidDel="00000000" w:rsidR="00000000" w:rsidRPr="00000000">
          <w:rPr>
            <w:rFonts w:ascii="Times New Roman" w:cs="Times New Roman" w:eastAsia="Times New Roman" w:hAnsi="Times New Roman"/>
            <w:color w:val="4a6ee0"/>
            <w:sz w:val="24"/>
            <w:szCs w:val="24"/>
            <w:highlight w:val="white"/>
            <w:u w:val="single"/>
            <w:rtl w:val="0"/>
          </w:rPr>
          <w:t xml:space="preserve"> 25% of COVID-19 related deaths</w:t>
        </w:r>
      </w:hyperlink>
      <w:r w:rsidDel="00000000" w:rsidR="00000000" w:rsidRPr="00000000">
        <w:rPr>
          <w:rFonts w:ascii="Times New Roman" w:cs="Times New Roman" w:eastAsia="Times New Roman" w:hAnsi="Times New Roman"/>
          <w:color w:val="0e101a"/>
          <w:sz w:val="24"/>
          <w:szCs w:val="24"/>
          <w:highlight w:val="white"/>
          <w:rtl w:val="0"/>
        </w:rPr>
        <w:t xml:space="preserve">. As Danyelle Solomon states, “National emergencies, pandemics, epidemics, [spotlight] inequality.”</w:t>
      </w:r>
      <w:hyperlink r:id="rId20">
        <w:r w:rsidDel="00000000" w:rsidR="00000000" w:rsidRPr="00000000">
          <w:rPr>
            <w:rFonts w:ascii="Times New Roman" w:cs="Times New Roman" w:eastAsia="Times New Roman" w:hAnsi="Times New Roman"/>
            <w:color w:val="4a6ee0"/>
            <w:sz w:val="24"/>
            <w:szCs w:val="24"/>
            <w:highlight w:val="white"/>
            <w:u w:val="single"/>
            <w:rtl w:val="0"/>
          </w:rPr>
          <w:t xml:space="preserve"> Vice-president Solomon</w:t>
        </w:r>
      </w:hyperlink>
      <w:r w:rsidDel="00000000" w:rsidR="00000000" w:rsidRPr="00000000">
        <w:rPr>
          <w:rFonts w:ascii="Times New Roman" w:cs="Times New Roman" w:eastAsia="Times New Roman" w:hAnsi="Times New Roman"/>
          <w:color w:val="0e101a"/>
          <w:sz w:val="24"/>
          <w:szCs w:val="24"/>
          <w:highlight w:val="white"/>
          <w:rtl w:val="0"/>
        </w:rPr>
        <w:t xml:space="preserve"> at the Center for America’s race and ethnicity program adds that COVID-19 is “highlighting racial disparities at every single level that have been with our society for a very long time.”</w:t>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sz w:val="24"/>
          <w:szCs w:val="24"/>
          <w:rtl w:val="0"/>
        </w:rPr>
        <w:t xml:space="preserve">Institutions shape modern-day economics to benefit the rich and marginalize the poor. This is evident across housing, the workplace, and other aspects of people of color’s lives. These ideas are further dismantled and dissected in the </w:t>
      </w:r>
      <w:r w:rsidDel="00000000" w:rsidR="00000000" w:rsidRPr="00000000">
        <w:rPr>
          <w:rFonts w:ascii="Times New Roman" w:cs="Times New Roman" w:eastAsia="Times New Roman" w:hAnsi="Times New Roman"/>
          <w:i w:val="1"/>
          <w:color w:val="0e101a"/>
          <w:sz w:val="24"/>
          <w:szCs w:val="24"/>
          <w:rtl w:val="0"/>
        </w:rPr>
        <w:t xml:space="preserve">Cost of Darkness </w:t>
      </w:r>
      <w:r w:rsidDel="00000000" w:rsidR="00000000" w:rsidRPr="00000000">
        <w:rPr>
          <w:rFonts w:ascii="Times New Roman" w:cs="Times New Roman" w:eastAsia="Times New Roman" w:hAnsi="Times New Roman"/>
          <w:color w:val="0e101a"/>
          <w:sz w:val="24"/>
          <w:szCs w:val="24"/>
          <w:rtl w:val="0"/>
        </w:rPr>
        <w:t xml:space="preserve">documentary.</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guardian.com/us-news/2020/apr/28/african-americans-unemployment-covid-19-economic-impact" TargetMode="External"/><Relationship Id="rId11" Type="http://schemas.openxmlformats.org/officeDocument/2006/relationships/hyperlink" Target="https://www.brookings.edu/blog/up-front/2019/02/15/how-racial-and-regional-inequality-affect-economic-opportunity/" TargetMode="External"/><Relationship Id="rId10" Type="http://schemas.openxmlformats.org/officeDocument/2006/relationships/hyperlink" Target="https://www.nber.org/reporter/winter05/margo.html" TargetMode="External"/><Relationship Id="rId21" Type="http://schemas.openxmlformats.org/officeDocument/2006/relationships/header" Target="header1.xml"/><Relationship Id="rId13" Type="http://schemas.openxmlformats.org/officeDocument/2006/relationships/hyperlink" Target="https://mdclegal.com.au/4-examples-workplace-discrimination/" TargetMode="External"/><Relationship Id="rId12" Type="http://schemas.openxmlformats.org/officeDocument/2006/relationships/hyperlink" Target="https://www.brookings.edu/blog/up-front/2019/02/15/how-racial-and-regional-inequality-affect-economic-opportun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ber.org/reporter/winter05/margo.html" TargetMode="External"/><Relationship Id="rId15" Type="http://schemas.openxmlformats.org/officeDocument/2006/relationships/hyperlink" Target="https://www.brookings.edu/blog/up-front/2019/02/15/how-racial-and-regional-inequality-affect-economic-opportunity/" TargetMode="External"/><Relationship Id="rId14" Type="http://schemas.openxmlformats.org/officeDocument/2006/relationships/hyperlink" Target="https://mdclegal.com.au/4-examples-workplace-discrimination/" TargetMode="External"/><Relationship Id="rId17" Type="http://schemas.openxmlformats.org/officeDocument/2006/relationships/hyperlink" Target="https://www.nber.org/papers/w9873" TargetMode="External"/><Relationship Id="rId16" Type="http://schemas.openxmlformats.org/officeDocument/2006/relationships/hyperlink" Target="https://www.brookings.edu/blog/up-front/2019/02/15/how-racial-and-regional-inequality-affect-economic-opportunity/" TargetMode="External"/><Relationship Id="rId5" Type="http://schemas.openxmlformats.org/officeDocument/2006/relationships/styles" Target="styles.xml"/><Relationship Id="rId19" Type="http://schemas.openxmlformats.org/officeDocument/2006/relationships/hyperlink" Target="https://www.theguardian.com/us-news/2020/apr/28/african-americans-unemployment-covid-19-economic-impact" TargetMode="External"/><Relationship Id="rId6" Type="http://schemas.openxmlformats.org/officeDocument/2006/relationships/hyperlink" Target="https://www.nber.org/reporter/winter05/margo.html" TargetMode="External"/><Relationship Id="rId18" Type="http://schemas.openxmlformats.org/officeDocument/2006/relationships/hyperlink" Target="https://www.chicagotribune.com/business/ct-bias-hiring-0504-biz-20160503-story.html" TargetMode="External"/><Relationship Id="rId7" Type="http://schemas.openxmlformats.org/officeDocument/2006/relationships/hyperlink" Target="https://www.theguardian.com/us-news/2020/apr/28/african-americans-unemployment-covid-19-economic-impact" TargetMode="External"/><Relationship Id="rId8" Type="http://schemas.openxmlformats.org/officeDocument/2006/relationships/hyperlink" Target="https://www.theguardian.com/us-news/2020/apr/28/african-americans-unemployment-covid-19-economic-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